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本科毕业论文检测指南</w:t>
      </w:r>
    </w:p>
    <w:p>
      <w:pPr>
        <w:pStyle w:val="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一、</w:t>
      </w:r>
      <w:r>
        <w:rPr>
          <w:rFonts w:hint="eastAsia" w:ascii="仿宋" w:hAnsi="仿宋" w:eastAsia="仿宋" w:cs="仿宋"/>
        </w:rPr>
        <w:t xml:space="preserve"> 论文检测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1.论文管理系统内，答辩稿检测</w:t>
      </w:r>
    </w:p>
    <w:p>
      <w:pPr>
        <w:pStyle w:val="4"/>
        <w:spacing w:before="240" w:after="240"/>
        <w:ind w:firstLine="643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学生论文定稿（定稿于</w:t>
      </w:r>
      <w:r>
        <w:rPr>
          <w:rFonts w:hint="eastAsia" w:ascii="仿宋" w:hAnsi="仿宋" w:eastAsia="仿宋" w:cs="仿宋"/>
        </w:rPr>
        <w:t>4</w:t>
      </w:r>
      <w:r>
        <w:rPr>
          <w:rFonts w:hint="eastAsia" w:ascii="仿宋" w:hAnsi="仿宋" w:eastAsia="仿宋" w:cs="仿宋"/>
        </w:rPr>
        <w:t>月6日开放）</w:t>
      </w:r>
    </w:p>
    <w:p>
      <w:pPr>
        <w:spacing w:before="120" w:after="120"/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点击“上传论文”，选择本地的论文文档进行上传</w:t>
      </w:r>
    </w:p>
    <w:p>
      <w:pPr>
        <w:spacing w:before="120" w:after="120"/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8120" cy="162814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提示“文件上传成功”后，如果点击“保存”，表示这条数据未提交，之后还可以重新上传，注意：重新上传论文的时候一定要重新上传一次文件。</w:t>
      </w:r>
    </w:p>
    <w:p>
      <w:pPr>
        <w:spacing w:before="120" w:after="120"/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如果点击“保存并提交”，表示数据已经提交，弹出窗口选择“确认”，然后等待指导教师审核结果。</w:t>
      </w:r>
    </w:p>
    <w:p>
      <w:pPr>
        <w:spacing w:before="120" w:after="120"/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865" cy="2578100"/>
            <wp:effectExtent l="0" t="0" r="698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/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检测功能：</w:t>
      </w:r>
    </w:p>
    <w:p>
      <w:pPr>
        <w:spacing w:before="120" w:after="120"/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系统此处为自动送检模式，在点击“保存并提交”并选择“确认”后，论文自动进行检测，页面会显示“检测中”字样，可等待结果出具，也可一段时间后再来查看结果。</w:t>
      </w:r>
    </w:p>
    <w:p>
      <w:pPr>
        <w:spacing w:before="120" w:after="120"/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FF0000"/>
        </w:rPr>
        <w:t>注意：学生每人</w:t>
      </w:r>
      <w:r>
        <w:rPr>
          <w:rFonts w:hint="eastAsia" w:ascii="仿宋" w:hAnsi="仿宋" w:eastAsia="仿宋" w:cs="仿宋"/>
          <w:color w:val="FF0000"/>
          <w:lang w:val="en-US" w:eastAsia="zh-CN"/>
        </w:rPr>
        <w:t>均有</w:t>
      </w:r>
      <w:r>
        <w:rPr>
          <w:rFonts w:hint="eastAsia" w:ascii="仿宋" w:hAnsi="仿宋" w:eastAsia="仿宋" w:cs="仿宋"/>
          <w:color w:val="FF0000"/>
        </w:rPr>
        <w:t>两次</w:t>
      </w:r>
      <w:r>
        <w:rPr>
          <w:rFonts w:hint="eastAsia" w:ascii="仿宋" w:hAnsi="仿宋" w:eastAsia="仿宋" w:cs="仿宋"/>
          <w:color w:val="FF0000"/>
          <w:lang w:val="en-US" w:eastAsia="zh-CN"/>
        </w:rPr>
        <w:t>免费</w:t>
      </w:r>
      <w:r>
        <w:rPr>
          <w:rFonts w:hint="eastAsia" w:ascii="仿宋" w:hAnsi="仿宋" w:eastAsia="仿宋" w:cs="仿宋"/>
          <w:color w:val="FF0000"/>
        </w:rPr>
        <w:t>检测机会</w:t>
      </w:r>
      <w:r>
        <w:rPr>
          <w:rFonts w:hint="eastAsia" w:ascii="仿宋" w:hAnsi="仿宋" w:eastAsia="仿宋" w:cs="仿宋"/>
          <w:color w:val="FF0000"/>
        </w:rPr>
        <w:t>，论文总相似比低于30%为合格。检测结果将由指导教师评价。</w:t>
      </w:r>
    </w:p>
    <w:p>
      <w:pPr>
        <w:spacing w:before="120" w:after="120"/>
        <w:ind w:firstLine="42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865" cy="2603500"/>
            <wp:effectExtent l="0" t="0" r="698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/>
        <w:ind w:firstLine="420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  <w:highlight w:val="yellow"/>
        </w:rPr>
        <w:t>如两次检测都未通过，则在老师退回后，上传新论文，点击“自检链接”按钮，在弹出框点击“点击跳转”，在跳转页面进行注册，对论文进行检测工作。在此页面注册后出具的检测报告，可提交报告编号至毕设系统定稿模块，毕设系统将会同步此检测报告的检测数据。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.提前预检</w:t>
      </w:r>
    </w:p>
    <w:p>
      <w:pPr>
        <w:ind w:firstLine="480" w:firstLineChars="200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为保障学生查重结果符合要求，也为了杜绝某些资源来源不正规、检测技术落后、且冒名模仿检测品牌的网站，保障毕业生论文的安全。维普资讯为学生个人自检开通了安全优惠通道，</w:t>
      </w:r>
      <w:r>
        <w:rPr>
          <w:rFonts w:hint="eastAsia" w:ascii="仿宋" w:hAnsi="仿宋" w:eastAsia="仿宋" w:cs="仿宋"/>
          <w:bCs/>
          <w:sz w:val="24"/>
        </w:rPr>
        <w:t>同学们可自主选择进行</w:t>
      </w:r>
      <w:r>
        <w:rPr>
          <w:rFonts w:hint="eastAsia" w:ascii="仿宋" w:hAnsi="仿宋" w:eastAsia="仿宋" w:cs="仿宋"/>
          <w:bCs/>
          <w:sz w:val="24"/>
        </w:rPr>
        <w:t>注册并</w:t>
      </w:r>
      <w:r>
        <w:rPr>
          <w:rFonts w:hint="eastAsia" w:ascii="仿宋" w:hAnsi="仿宋" w:eastAsia="仿宋" w:cs="仿宋"/>
          <w:bCs/>
          <w:sz w:val="24"/>
        </w:rPr>
        <w:t>自检，费用由维普公司收取，与学校无关</w:t>
      </w:r>
      <w:r>
        <w:rPr>
          <w:rFonts w:hint="eastAsia" w:ascii="仿宋" w:hAnsi="仿宋" w:eastAsia="仿宋" w:cs="仿宋"/>
          <w:bCs/>
          <w:sz w:val="24"/>
        </w:rPr>
        <w:t>，检测结果与学校检测和学院检测一致。</w:t>
      </w:r>
    </w:p>
    <w:p>
      <w:pPr>
        <w:ind w:firstLine="482" w:firstLineChars="200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/>
          <w:sz w:val="24"/>
        </w:rPr>
        <w:t>检测网址：</w:t>
      </w:r>
      <w:r>
        <w:rPr>
          <w:rFonts w:hint="eastAsia" w:ascii="仿宋" w:hAnsi="仿宋" w:eastAsia="仿宋" w:cs="仿宋"/>
          <w:bCs/>
          <w:color w:val="FF0000"/>
          <w:sz w:val="24"/>
          <w:u w:val="single"/>
        </w:rPr>
        <w:t>http://vpcs.cqvip.com/personal/</w:t>
      </w:r>
      <w:r>
        <w:rPr>
          <w:rFonts w:hint="eastAsia" w:ascii="仿宋" w:hAnsi="仿宋" w:eastAsia="仿宋" w:cs="仿宋"/>
          <w:bCs/>
          <w:color w:val="FF0000"/>
          <w:sz w:val="24"/>
          <w:u w:val="single"/>
        </w:rPr>
        <w:t>hsu</w:t>
      </w:r>
      <w:r>
        <w:rPr>
          <w:rFonts w:hint="eastAsia" w:ascii="仿宋" w:hAnsi="仿宋" w:eastAsia="仿宋" w:cs="仿宋"/>
          <w:bCs/>
          <w:sz w:val="24"/>
        </w:rPr>
        <w:t>，</w:t>
      </w:r>
      <w:r>
        <w:rPr>
          <w:rFonts w:hint="eastAsia" w:ascii="仿宋" w:hAnsi="仿宋" w:eastAsia="仿宋" w:cs="仿宋"/>
          <w:bCs/>
          <w:sz w:val="24"/>
        </w:rPr>
        <w:t>学生使用手机号注册后检测。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3552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.1</w:t>
      </w:r>
      <w:r>
        <w:rPr>
          <w:rFonts w:hint="eastAsia" w:ascii="仿宋" w:hAnsi="仿宋" w:eastAsia="仿宋" w:cs="仿宋"/>
          <w:sz w:val="24"/>
          <w:szCs w:val="24"/>
        </w:rPr>
        <w:t>注册</w:t>
      </w:r>
      <w:r>
        <w:rPr>
          <w:rFonts w:hint="eastAsia" w:ascii="仿宋" w:hAnsi="仿宋" w:eastAsia="仿宋" w:cs="仿宋"/>
          <w:sz w:val="24"/>
          <w:szCs w:val="24"/>
        </w:rPr>
        <w:t>登录后，选择“大学生版”。如图：</w:t>
      </w:r>
    </w:p>
    <w:p>
      <w:pPr>
        <w:ind w:left="360" w:firstLine="48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153025" cy="3038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rPr>
          <w:rFonts w:hint="eastAsia" w:ascii="仿宋" w:hAnsi="仿宋" w:eastAsia="仿宋" w:cs="仿宋"/>
        </w:rPr>
      </w:pPr>
    </w:p>
    <w:p>
      <w:pPr>
        <w:pStyle w:val="17"/>
        <w:spacing w:line="360" w:lineRule="auto"/>
        <w:ind w:firstLine="0" w:firstLineChars="0"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Cs/>
          <w:sz w:val="24"/>
        </w:rPr>
        <w:t>2</w:t>
      </w:r>
      <w:r>
        <w:rPr>
          <w:rFonts w:hint="eastAsia" w:ascii="仿宋" w:hAnsi="仿宋" w:eastAsia="仿宋" w:cs="仿宋"/>
          <w:bCs/>
          <w:sz w:val="24"/>
        </w:rPr>
        <w:t>.2</w:t>
      </w:r>
      <w:r>
        <w:rPr>
          <w:rFonts w:hint="eastAsia" w:ascii="仿宋" w:hAnsi="仿宋" w:eastAsia="仿宋" w:cs="仿宋"/>
          <w:bCs/>
          <w:sz w:val="24"/>
        </w:rPr>
        <w:t>提交文档：可通过直接上传文档或粘贴文本两种方式提交文档，完成后点击“下一步”进行提交。</w:t>
      </w:r>
    </w:p>
    <w:p>
      <w:pPr>
        <w:spacing w:line="360" w:lineRule="auto"/>
        <w:ind w:firstLine="422" w:firstLineChars="200"/>
        <w:rPr>
          <w:rFonts w:hint="eastAsia" w:ascii="仿宋" w:hAnsi="仿宋" w:eastAsia="仿宋" w:cs="仿宋"/>
          <w:b/>
          <w:color w:val="FF0000"/>
          <w:szCs w:val="21"/>
        </w:rPr>
      </w:pPr>
      <w:r>
        <w:rPr>
          <w:rFonts w:hint="eastAsia" w:ascii="仿宋" w:hAnsi="仿宋" w:eastAsia="仿宋" w:cs="仿宋"/>
          <w:b/>
          <w:color w:val="FF0000"/>
          <w:szCs w:val="21"/>
        </w:rPr>
        <w:t>* 送检文档格式可为</w:t>
      </w:r>
      <w:r>
        <w:rPr>
          <w:rFonts w:hint="eastAsia" w:ascii="仿宋" w:hAnsi="仿宋" w:eastAsia="仿宋" w:cs="仿宋"/>
          <w:b/>
          <w:color w:val="FF0000"/>
          <w:szCs w:val="21"/>
        </w:rPr>
        <w:t>.doc/.docx/.txt</w:t>
      </w:r>
      <w:r>
        <w:rPr>
          <w:rFonts w:hint="eastAsia" w:ascii="仿宋" w:hAnsi="仿宋" w:eastAsia="仿宋" w:cs="仿宋"/>
          <w:b/>
          <w:color w:val="FF0000"/>
          <w:szCs w:val="21"/>
        </w:rPr>
        <w:t>/.pdf</w:t>
      </w:r>
      <w:r>
        <w:rPr>
          <w:rFonts w:hint="eastAsia" w:ascii="仿宋" w:hAnsi="仿宋" w:eastAsia="仿宋" w:cs="仿宋"/>
          <w:b/>
          <w:color w:val="FF0000"/>
          <w:szCs w:val="21"/>
        </w:rPr>
        <w:t>文件</w:t>
      </w:r>
      <w:r>
        <w:rPr>
          <w:rFonts w:hint="eastAsia" w:ascii="仿宋" w:hAnsi="仿宋" w:eastAsia="仿宋" w:cs="仿宋"/>
          <w:b/>
          <w:color w:val="FF0000"/>
          <w:szCs w:val="21"/>
        </w:rPr>
        <w:t>【推荐</w:t>
      </w:r>
      <w:r>
        <w:rPr>
          <w:rFonts w:hint="eastAsia" w:ascii="仿宋" w:hAnsi="仿宋" w:eastAsia="仿宋" w:cs="仿宋"/>
          <w:b/>
          <w:color w:val="FF0000"/>
          <w:szCs w:val="21"/>
        </w:rPr>
        <w:t>.doc/.docx/.txt</w:t>
      </w:r>
      <w:r>
        <w:rPr>
          <w:rFonts w:hint="eastAsia" w:ascii="仿宋" w:hAnsi="仿宋" w:eastAsia="仿宋" w:cs="仿宋"/>
          <w:b/>
          <w:color w:val="FF0000"/>
          <w:szCs w:val="21"/>
        </w:rPr>
        <w:t>格式】；</w:t>
      </w:r>
    </w:p>
    <w:p>
      <w:pPr>
        <w:spacing w:line="360" w:lineRule="auto"/>
        <w:ind w:firstLine="422" w:firstLineChars="200"/>
        <w:rPr>
          <w:rFonts w:hint="eastAsia" w:ascii="仿宋" w:hAnsi="仿宋" w:eastAsia="仿宋" w:cs="仿宋"/>
          <w:b/>
          <w:color w:val="FF0000"/>
          <w:szCs w:val="21"/>
        </w:rPr>
      </w:pPr>
      <w:r>
        <w:rPr>
          <w:rFonts w:hint="eastAsia" w:ascii="仿宋" w:hAnsi="仿宋" w:eastAsia="仿宋" w:cs="仿宋"/>
          <w:b/>
          <w:color w:val="FF0000"/>
          <w:szCs w:val="21"/>
        </w:rPr>
        <w:t>* 论文题目和作者姓名选填，但建议填写完整，这两部分内容将在报告中呈现；</w:t>
      </w:r>
    </w:p>
    <w:p>
      <w:pPr>
        <w:ind w:left="36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31419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ind w:left="360"/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240" w:firstLineChars="10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2.3 </w:t>
      </w:r>
      <w:r>
        <w:rPr>
          <w:rFonts w:hint="eastAsia" w:ascii="仿宋" w:hAnsi="仿宋" w:eastAsia="仿宋" w:cs="仿宋"/>
          <w:sz w:val="24"/>
          <w:szCs w:val="24"/>
        </w:rPr>
        <w:t>传论文解析完成，确认文档信息无误后，点击提交订单。</w:t>
      </w:r>
    </w:p>
    <w:p>
      <w:pPr>
        <w:pStyle w:val="15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4458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1150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left="0" w:leftChars="0" w:firstLine="0" w:firstLineChars="0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2.4</w:t>
      </w:r>
      <w:r>
        <w:rPr>
          <w:rFonts w:hint="eastAsia" w:ascii="仿宋" w:hAnsi="仿宋" w:eastAsia="仿宋" w:cs="仿宋"/>
          <w:bCs/>
          <w:sz w:val="24"/>
        </w:rPr>
        <w:t>充值付费</w:t>
      </w:r>
    </w:p>
    <w:p>
      <w:pPr>
        <w:pStyle w:val="17"/>
        <w:spacing w:line="360" w:lineRule="auto"/>
        <w:ind w:left="420" w:leftChars="200" w:firstLine="0" w:firstLineChars="0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可自主选择付费检测，支付成功后，将自动进入检测。</w:t>
      </w:r>
    </w:p>
    <w:p>
      <w:pPr>
        <w:pStyle w:val="17"/>
        <w:spacing w:line="360" w:lineRule="auto"/>
        <w:ind w:left="420" w:leftChars="200" w:firstLine="0" w:firstLineChars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57800" cy="2838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.5</w:t>
      </w:r>
      <w:r>
        <w:rPr>
          <w:rFonts w:hint="eastAsia" w:ascii="仿宋" w:hAnsi="仿宋" w:eastAsia="仿宋" w:cs="仿宋"/>
          <w:sz w:val="24"/>
          <w:szCs w:val="24"/>
        </w:rPr>
        <w:t>检测过程中，可以关闭页面，检测完毕后，在“个人中心”查看、下载检测报告。如图：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8276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2.6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同一天多次检测，建议退出当前页面，打开新的网页，</w:t>
      </w:r>
      <w:r>
        <w:rPr>
          <w:rFonts w:hint="eastAsia" w:ascii="仿宋" w:hAnsi="仿宋" w:eastAsia="仿宋" w:cs="仿宋"/>
          <w:sz w:val="24"/>
          <w:szCs w:val="24"/>
        </w:rPr>
        <w:t>重新进入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"http://vpcs.cqvip.com/personal/ahstu"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0"/>
          <w:rFonts w:hint="eastAsia" w:ascii="仿宋" w:hAnsi="仿宋" w:eastAsia="仿宋" w:cs="仿宋"/>
          <w:bCs/>
          <w:sz w:val="24"/>
        </w:rPr>
        <w:t>http://vpcs.cqvip.com/personal/</w:t>
      </w:r>
      <w:r>
        <w:rPr>
          <w:rStyle w:val="10"/>
          <w:rFonts w:hint="eastAsia" w:ascii="仿宋" w:hAnsi="仿宋" w:eastAsia="仿宋" w:cs="仿宋"/>
          <w:bCs/>
          <w:sz w:val="24"/>
        </w:rPr>
        <w:t>ahstu</w:t>
      </w:r>
      <w:r>
        <w:rPr>
          <w:rStyle w:val="10"/>
          <w:rFonts w:hint="eastAsia" w:ascii="仿宋" w:hAnsi="仿宋" w:eastAsia="仿宋" w:cs="仿宋"/>
          <w:bCs/>
          <w:sz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入口登录后检测。</w:t>
      </w:r>
    </w:p>
    <w:p>
      <w:pPr>
        <w:pStyle w:val="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二、</w:t>
      </w:r>
      <w:r>
        <w:rPr>
          <w:rFonts w:hint="eastAsia" w:ascii="仿宋" w:hAnsi="仿宋" w:eastAsia="仿宋" w:cs="仿宋"/>
        </w:rPr>
        <w:t xml:space="preserve"> 格式规范</w:t>
      </w:r>
      <w:r>
        <w:rPr>
          <w:rFonts w:hint="eastAsia" w:ascii="仿宋" w:hAnsi="仿宋" w:eastAsia="仿宋" w:cs="仿宋"/>
        </w:rPr>
        <w:t>建议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注意：</w:t>
      </w:r>
      <w:r>
        <w:rPr>
          <w:rFonts w:hint="eastAsia" w:ascii="仿宋" w:hAnsi="仿宋" w:eastAsia="仿宋" w:cs="仿宋"/>
          <w:lang w:val="en-US" w:eastAsia="zh-CN"/>
        </w:rPr>
        <w:t>若</w:t>
      </w:r>
      <w:r>
        <w:rPr>
          <w:rFonts w:hint="eastAsia" w:ascii="仿宋" w:hAnsi="仿宋" w:eastAsia="仿宋" w:cs="仿宋"/>
        </w:rPr>
        <w:t>论文检测系统的格式要求若与学校规定的格式规范有差别，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请按照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学校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提供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的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参考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格式撰写论文！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维普论文检测提交文档格式规范注意事项：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b/>
          <w:color w:val="FF0000"/>
        </w:rPr>
      </w:pPr>
      <w:r>
        <w:rPr>
          <w:rFonts w:hint="eastAsia" w:ascii="仿宋" w:hAnsi="仿宋" w:eastAsia="仿宋" w:cs="仿宋"/>
        </w:rPr>
        <w:t>维普论文检测系统可支持检测的文本格式有：doc、docx、txt、pdf，建议使用 doc 或 docx 文本提交检测。</w:t>
      </w:r>
      <w:r>
        <w:rPr>
          <w:rFonts w:hint="eastAsia" w:ascii="仿宋" w:hAnsi="仿宋" w:eastAsia="仿宋" w:cs="仿宋"/>
          <w:b/>
          <w:color w:val="FF0000"/>
        </w:rPr>
        <w:t>需要注意的是使用 wps 完成论文撰写后，需另存为 doc 或 docx，系统不支持 wps 格式的检测，也不支持直接修改文件后缀名的 wps 格式文本</w:t>
      </w:r>
      <w:r>
        <w:rPr>
          <w:rFonts w:hint="eastAsia" w:ascii="仿宋" w:hAnsi="仿宋" w:eastAsia="仿宋" w:cs="仿宋"/>
          <w:b/>
          <w:color w:val="FF0000"/>
        </w:rPr>
        <w:t>；P</w:t>
      </w:r>
      <w:r>
        <w:rPr>
          <w:rFonts w:hint="eastAsia" w:ascii="仿宋" w:hAnsi="仿宋" w:eastAsia="仿宋" w:cs="仿宋"/>
          <w:b/>
          <w:color w:val="FF0000"/>
        </w:rPr>
        <w:t>DF</w:t>
      </w:r>
      <w:r>
        <w:rPr>
          <w:rFonts w:hint="eastAsia" w:ascii="仿宋" w:hAnsi="仿宋" w:eastAsia="仿宋" w:cs="仿宋"/>
          <w:b/>
          <w:color w:val="FF0000"/>
        </w:rPr>
        <w:t>提交的最好以word另存为的P</w:t>
      </w:r>
      <w:r>
        <w:rPr>
          <w:rFonts w:hint="eastAsia" w:ascii="仿宋" w:hAnsi="仿宋" w:eastAsia="仿宋" w:cs="仿宋"/>
          <w:b/>
          <w:color w:val="FF0000"/>
        </w:rPr>
        <w:t>DF</w:t>
      </w:r>
      <w:r>
        <w:rPr>
          <w:rFonts w:hint="eastAsia" w:ascii="仿宋" w:hAnsi="仿宋" w:eastAsia="仿宋" w:cs="仿宋"/>
          <w:b/>
          <w:color w:val="FF0000"/>
        </w:rPr>
        <w:t>格式。</w:t>
      </w:r>
    </w:p>
    <w:p>
      <w:pPr>
        <w:numPr>
          <w:numId w:val="0"/>
        </w:numPr>
        <w:rPr>
          <w:rFonts w:hint="eastAsia" w:ascii="仿宋" w:hAnsi="仿宋" w:eastAsia="仿宋" w:cs="仿宋"/>
          <w:b/>
          <w:color w:val="FF0000"/>
        </w:r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2.</w:t>
      </w:r>
      <w:r>
        <w:rPr>
          <w:rFonts w:hint="eastAsia" w:ascii="仿宋" w:hAnsi="仿宋" w:eastAsia="仿宋" w:cs="仿宋"/>
        </w:rPr>
        <w:t>单篇文件大小不超过 20M，文章总字数不超过 15 万字，</w:t>
      </w:r>
      <w:r>
        <w:rPr>
          <w:rFonts w:hint="eastAsia" w:ascii="仿宋" w:hAnsi="仿宋" w:eastAsia="仿宋" w:cs="仿宋"/>
          <w:b/>
          <w:color w:val="FF0000"/>
        </w:rPr>
        <w:t>如果文中图片较大，请采用 word 自带的压缩图片功能，压缩全部图片到适用于打印的状态。</w:t>
      </w: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3.</w:t>
      </w:r>
      <w:r>
        <w:rPr>
          <w:rFonts w:hint="eastAsia" w:ascii="仿宋" w:hAnsi="仿宋" w:eastAsia="仿宋" w:cs="仿宋"/>
        </w:rPr>
        <w:t>文件命名：提交时，尽量填写完整的文章名和作者名，两个信息才会在报告中完整体现。如若直接提交文档，文件命名最好以“姓名_论文名”的格式。</w:t>
      </w:r>
    </w:p>
    <w:p>
      <w:pPr>
        <w:rPr>
          <w:rFonts w:hint="eastAsia" w:ascii="仿宋" w:hAnsi="仿宋" w:eastAsia="仿宋" w:cs="仿宋"/>
        </w:rPr>
      </w:pPr>
    </w:p>
    <w:p>
      <w:pPr>
        <w:numPr>
          <w:ilvl w:val="0"/>
          <w:numId w:val="2"/>
        </w:num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检测内容：</w:t>
      </w:r>
      <w:r>
        <w:rPr>
          <w:rFonts w:hint="eastAsia" w:ascii="仿宋" w:hAnsi="仿宋" w:eastAsia="仿宋" w:cs="仿宋"/>
          <w:b/>
          <w:color w:val="FF0000"/>
        </w:rPr>
        <w:t>系统自动判定“摘要”之后至“参考文献”之前部分参与检测，</w:t>
      </w:r>
      <w:r>
        <w:rPr>
          <w:rFonts w:hint="eastAsia" w:ascii="仿宋" w:hAnsi="仿宋" w:eastAsia="仿宋" w:cs="仿宋"/>
        </w:rPr>
        <w:t>文中的摘要及参考文献不要打括号或引号，文字中间也不要打空格。</w:t>
      </w:r>
    </w:p>
    <w:p>
      <w:pPr>
        <w:numPr>
          <w:numId w:val="0"/>
        </w:num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5.</w:t>
      </w:r>
      <w:r>
        <w:rPr>
          <w:rFonts w:hint="eastAsia" w:ascii="仿宋" w:hAnsi="仿宋" w:eastAsia="仿宋" w:cs="仿宋"/>
        </w:rPr>
        <w:t>引用识别：</w:t>
      </w:r>
    </w:p>
    <w:p>
      <w:pPr>
        <w:pStyle w:val="15"/>
        <w:numPr>
          <w:ilvl w:val="0"/>
          <w:numId w:val="3"/>
        </w:numPr>
        <w:ind w:firstLineChars="0"/>
        <w:rPr>
          <w:rFonts w:hint="eastAsia"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</w:rPr>
        <w:t>识别方式：系统检测出的相似片段部分，且相似片段加了正确尾注标，系统会识别为引用，自动标黄。</w:t>
      </w:r>
    </w:p>
    <w:p>
      <w:pPr>
        <w:pStyle w:val="15"/>
        <w:numPr>
          <w:ilvl w:val="0"/>
          <w:numId w:val="3"/>
        </w:numPr>
        <w:ind w:firstLineChars="0"/>
        <w:rPr>
          <w:rFonts w:hint="eastAsia"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</w:rPr>
        <w:t>引用尾注样式示范：重庆维普资讯有限公司</w:t>
      </w:r>
      <w:r>
        <w:rPr>
          <w:rFonts w:hint="eastAsia" w:ascii="仿宋" w:hAnsi="仿宋" w:eastAsia="仿宋" w:cs="仿宋"/>
        </w:rPr>
        <w:t>[1</w:t>
      </w:r>
      <w:r>
        <w:rPr>
          <w:rFonts w:hint="eastAsia" w:ascii="仿宋" w:hAnsi="仿宋" w:eastAsia="仿宋" w:cs="仿宋"/>
        </w:rPr>
        <w:t>]。 在句号以前用方括号加数字标注（半角英文状态手动输入，请</w:t>
      </w:r>
      <w:r>
        <w:rPr>
          <w:rFonts w:hint="eastAsia" w:ascii="仿宋" w:hAnsi="仿宋" w:eastAsia="仿宋" w:cs="仿宋"/>
        </w:rPr>
        <w:t>谨慎</w:t>
      </w:r>
      <w:r>
        <w:rPr>
          <w:rFonts w:hint="eastAsia" w:ascii="仿宋" w:hAnsi="仿宋" w:eastAsia="仿宋" w:cs="仿宋"/>
        </w:rPr>
        <w:t>使用上标或者插入符号）</w:t>
      </w:r>
    </w:p>
    <w:p>
      <w:pPr>
        <w:pStyle w:val="15"/>
        <w:numPr>
          <w:ilvl w:val="0"/>
          <w:numId w:val="3"/>
        </w:numPr>
        <w:ind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FF0000"/>
        </w:rPr>
        <w:t>引用部分进行标注并不能达到降重的效果，总相似比=复写率+引用率</w:t>
      </w:r>
    </w:p>
    <w:p>
      <w:pPr>
        <w:pStyle w:val="15"/>
        <w:numPr>
          <w:numId w:val="0"/>
        </w:numPr>
        <w:ind w:leftChars="0"/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6.</w:t>
      </w:r>
      <w:r>
        <w:rPr>
          <w:rFonts w:hint="eastAsia" w:ascii="仿宋" w:hAnsi="仿宋" w:eastAsia="仿宋" w:cs="仿宋"/>
        </w:rPr>
        <w:t>参考文献格式规范：</w:t>
      </w:r>
    </w:p>
    <w:p>
      <w:pPr>
        <w:rPr>
          <w:rFonts w:hint="eastAsia" w:ascii="仿宋" w:hAnsi="仿宋" w:eastAsia="仿宋" w:cs="仿宋"/>
          <w:b/>
          <w:color w:val="FF0000"/>
        </w:rPr>
      </w:pPr>
      <w:r>
        <w:rPr>
          <w:rFonts w:hint="eastAsia" w:ascii="仿宋" w:hAnsi="仿宋" w:eastAsia="仿宋" w:cs="仿宋"/>
        </w:rPr>
        <w:t xml:space="preserve">① </w:t>
      </w:r>
      <w:r>
        <w:rPr>
          <w:rFonts w:hint="eastAsia" w:ascii="仿宋" w:hAnsi="仿宋" w:eastAsia="仿宋" w:cs="仿宋"/>
        </w:rPr>
        <w:t xml:space="preserve"> </w:t>
      </w:r>
      <w:r>
        <w:rPr>
          <w:rFonts w:hint="eastAsia" w:ascii="仿宋" w:hAnsi="仿宋" w:eastAsia="仿宋" w:cs="仿宋"/>
        </w:rPr>
        <w:t>识别方式：</w:t>
      </w:r>
      <w:r>
        <w:rPr>
          <w:rFonts w:hint="eastAsia" w:ascii="仿宋" w:hAnsi="仿宋" w:eastAsia="仿宋" w:cs="仿宋"/>
          <w:b/>
          <w:color w:val="FF0000"/>
        </w:rPr>
        <w:t>系统会从上传的文章里面找到文章中最后一个“参考文献”四个连续汉字，从这四个字开始如果下面的格式符合格式规范就会识别为参考文献。包括参考文献之后的内容都不会被检</w:t>
      </w:r>
      <w:bookmarkStart w:id="0" w:name="_GoBack"/>
      <w:bookmarkEnd w:id="0"/>
      <w:r>
        <w:rPr>
          <w:rFonts w:hint="eastAsia" w:ascii="仿宋" w:hAnsi="仿宋" w:eastAsia="仿宋" w:cs="仿宋"/>
          <w:b/>
          <w:color w:val="FF0000"/>
        </w:rPr>
        <w:t>测。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②  参考文献标准格式示范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参考文献部分所有符号（半角英文状态手动输入，请谨慎使用上标或者插入符号）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例：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参考文献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[1]宋凯. 水利工程中的水利施工管理措施和方法[J]. 科技创新与应用, 2013(16):188-188.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[2]周高桥，仇小红. 水利工程安全管理问题探讨[J]. 科技传播, 2013(18):74-74.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[3]王淑艳，于弋洋. 浅析水利工程造价控制[J]. 中国水运(下半月), 2013(5):115-116.</w:t>
      </w:r>
    </w:p>
    <w:p>
      <w:pPr>
        <w:rPr>
          <w:rFonts w:hint="eastAsia"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</w:rPr>
        <w:t xml:space="preserve">③  </w:t>
      </w:r>
      <w:r>
        <w:rPr>
          <w:rFonts w:hint="eastAsia" w:ascii="仿宋" w:hAnsi="仿宋" w:eastAsia="仿宋" w:cs="仿宋"/>
          <w:color w:val="FF0000"/>
        </w:rPr>
        <w:t>致谢、注释、附录请放在参考文献部分之后，并保证参考文献部分格式正确，以免重复。</w:t>
      </w:r>
    </w:p>
    <w:p>
      <w:pPr>
        <w:rPr>
          <w:rFonts w:hint="eastAsia" w:ascii="仿宋" w:hAnsi="仿宋" w:eastAsia="仿宋" w:cs="仿宋"/>
          <w:color w:val="FF0000"/>
        </w:r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7.</w:t>
      </w:r>
      <w:r>
        <w:rPr>
          <w:rFonts w:hint="eastAsia" w:ascii="仿宋" w:hAnsi="仿宋" w:eastAsia="仿宋" w:cs="仿宋"/>
        </w:rPr>
        <w:t>疑似抄袭判定标准：</w:t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与他人作品文字内容、语序完全相同或仅作少量删减、修改。</w:t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引用他人作品时已超过了“适当引用”的界限。</w:t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</w:t>
      </w:r>
      <w:r>
        <w:rPr>
          <w:rFonts w:hint="eastAsia" w:ascii="仿宋" w:hAnsi="仿宋" w:eastAsia="仿宋" w:cs="仿宋"/>
        </w:rPr>
        <w:t>文本不同，但使用同类词、近义词等相似表述方式描述的同一概念、观点、语义。</w:t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</w:t>
      </w:r>
      <w:r>
        <w:rPr>
          <w:rFonts w:hint="eastAsia" w:ascii="仿宋" w:hAnsi="仿宋" w:eastAsia="仿宋" w:cs="仿宋"/>
        </w:rPr>
        <w:t>单个文字片段相似度不高，但从前后段落分析，行文方式，逻辑结构有相似之处。</w:t>
      </w:r>
    </w:p>
    <w:p>
      <w:pPr>
        <w:pStyle w:val="15"/>
        <w:numPr>
          <w:ilvl w:val="0"/>
          <w:numId w:val="4"/>
        </w:numPr>
        <w:ind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 xml:space="preserve"> </w:t>
      </w:r>
      <w:r>
        <w:rPr>
          <w:rFonts w:hint="eastAsia" w:ascii="仿宋" w:hAnsi="仿宋" w:eastAsia="仿宋" w:cs="仿宋"/>
        </w:rPr>
        <w:t>使用他人多篇作品的片段拼凑，而又非编辑作品（又称汇编作品）</w:t>
      </w:r>
      <w:r>
        <w:rPr>
          <w:rFonts w:hint="eastAsia" w:ascii="仿宋" w:hAnsi="仿宋" w:eastAsia="仿宋" w:cs="仿宋"/>
          <w:lang w:eastAsia="zh-CN"/>
        </w:rPr>
        <w:t>。</w:t>
      </w:r>
    </w:p>
    <w:p>
      <w:pPr>
        <w:ind w:firstLine="240" w:firstLineChars="100"/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CF4614"/>
    <w:multiLevelType w:val="singleLevel"/>
    <w:tmpl w:val="9FCF46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11039BF"/>
    <w:multiLevelType w:val="singleLevel"/>
    <w:tmpl w:val="C11039B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D6A1467"/>
    <w:multiLevelType w:val="multilevel"/>
    <w:tmpl w:val="4D6A1467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0193FA4"/>
    <w:multiLevelType w:val="multilevel"/>
    <w:tmpl w:val="70193FA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CB0"/>
    <w:rsid w:val="00054A14"/>
    <w:rsid w:val="000A76DB"/>
    <w:rsid w:val="00103F6A"/>
    <w:rsid w:val="00106485"/>
    <w:rsid w:val="001B3C92"/>
    <w:rsid w:val="00227B26"/>
    <w:rsid w:val="0023332A"/>
    <w:rsid w:val="002E1D47"/>
    <w:rsid w:val="002E5743"/>
    <w:rsid w:val="00371056"/>
    <w:rsid w:val="003C33A8"/>
    <w:rsid w:val="003F64DD"/>
    <w:rsid w:val="00492614"/>
    <w:rsid w:val="00511A81"/>
    <w:rsid w:val="005868AB"/>
    <w:rsid w:val="00601281"/>
    <w:rsid w:val="00626D9C"/>
    <w:rsid w:val="006301EC"/>
    <w:rsid w:val="006E138E"/>
    <w:rsid w:val="007225BB"/>
    <w:rsid w:val="00903BF8"/>
    <w:rsid w:val="00AB67EC"/>
    <w:rsid w:val="00AE0691"/>
    <w:rsid w:val="00BA4B5B"/>
    <w:rsid w:val="00BD4A26"/>
    <w:rsid w:val="00C0026A"/>
    <w:rsid w:val="00C24702"/>
    <w:rsid w:val="00C4439F"/>
    <w:rsid w:val="00D774CD"/>
    <w:rsid w:val="00DB5CB0"/>
    <w:rsid w:val="00DC17A2"/>
    <w:rsid w:val="00E35EE1"/>
    <w:rsid w:val="00EB08B9"/>
    <w:rsid w:val="00F345D7"/>
    <w:rsid w:val="00F97570"/>
    <w:rsid w:val="00FB4A96"/>
    <w:rsid w:val="0AE146EE"/>
    <w:rsid w:val="2F122E55"/>
    <w:rsid w:val="34597CF6"/>
    <w:rsid w:val="3808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9"/>
    <w:link w:val="7"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uiPriority w:val="99"/>
    <w:rPr>
      <w:sz w:val="18"/>
      <w:szCs w:val="18"/>
    </w:rPr>
  </w:style>
  <w:style w:type="character" w:customStyle="1" w:styleId="13">
    <w:name w:val="标题 1 字符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9"/>
    <w:link w:val="5"/>
    <w:semiHidden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8">
    <w:name w:val="Unresolved Mention"/>
    <w:basedOn w:val="9"/>
    <w:semiHidden/>
    <w:unhideWhenUsed/>
    <w:uiPriority w:val="99"/>
    <w:rPr>
      <w:color w:val="605E5C"/>
      <w:shd w:val="clear" w:color="auto" w:fill="E1DFDD"/>
    </w:rPr>
  </w:style>
  <w:style w:type="character" w:customStyle="1" w:styleId="19">
    <w:name w:val="标题 3 字符"/>
    <w:basedOn w:val="9"/>
    <w:link w:val="4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334</Words>
  <Characters>1910</Characters>
  <Lines>15</Lines>
  <Paragraphs>4</Paragraphs>
  <TotalTime>48</TotalTime>
  <ScaleCrop>false</ScaleCrop>
  <LinksUpToDate>false</LinksUpToDate>
  <CharactersWithSpaces>2240</CharactersWithSpaces>
  <Application>WPS Office_11.1.0.9022_F1E327BC-269C-435d-A152-05C5408002CA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2020-03-17T07:06:00Z</dcterms:created>
  <dc:creator>8615111963196</dc:creator>
  <cp:lastModifiedBy>Administrator</cp:lastModifiedBy>
  <cp:lastPrinted>2020-03-17T08:35:00Z</cp:lastPrinted>
  <dcterms:modified xsi:type="dcterms:W3CDTF">2020-04-03T08:24:50Z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