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t>唯有书香能致远  最是春光好读书</w:t>
      </w:r>
      <w:r>
        <w:rPr>
          <w:rFonts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t>”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t>主题书画摄影作品征集表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</w:pPr>
    </w:p>
    <w:tbl>
      <w:tblPr>
        <w:tblStyle w:val="5"/>
        <w:tblW w:w="855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685"/>
        <w:gridCol w:w="1035"/>
        <w:gridCol w:w="1620"/>
        <w:gridCol w:w="16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68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类别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268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邮箱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8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所在学院（部门）</w:t>
            </w:r>
          </w:p>
        </w:tc>
        <w:tc>
          <w:tcPr>
            <w:tcW w:w="160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作品简介</w:t>
            </w:r>
          </w:p>
        </w:tc>
        <w:tc>
          <w:tcPr>
            <w:tcW w:w="6945" w:type="dxa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（200字以内）</w:t>
            </w: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CB055E-F392-4635-ADA2-E722FC446E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F53B3A-BE11-4ACA-A012-DC40B4B5ED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254CBD-405E-4910-B816-7560B7FBDF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02EB031-D9E0-4CF4-B074-3700A655FE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56F34A2-B10F-4767-A858-CA3035BF2D0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027E084-F66C-457F-AE76-365CA7E15D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MDA5ZjMxODI4N2RlZjFhMzBkNjkxYTgxZmU0MDYifQ=="/>
  </w:docVars>
  <w:rsids>
    <w:rsidRoot w:val="00E442FE"/>
    <w:rsid w:val="00143BCE"/>
    <w:rsid w:val="00352236"/>
    <w:rsid w:val="0057749F"/>
    <w:rsid w:val="00684984"/>
    <w:rsid w:val="00791EBE"/>
    <w:rsid w:val="00E3506F"/>
    <w:rsid w:val="00E442FE"/>
    <w:rsid w:val="00E93CFD"/>
    <w:rsid w:val="247C726E"/>
    <w:rsid w:val="37CD63E9"/>
    <w:rsid w:val="3894610C"/>
    <w:rsid w:val="59405A12"/>
    <w:rsid w:val="77BA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</Words>
  <Characters>82</Characters>
  <Lines>1</Lines>
  <Paragraphs>1</Paragraphs>
  <TotalTime>3</TotalTime>
  <ScaleCrop>false</ScaleCrop>
  <LinksUpToDate>false</LinksUpToDate>
  <CharactersWithSpaces>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2021-06-06T03:10:00Z</dcterms:created>
  <dc:creator>赵国力</dc:creator>
  <cp:lastModifiedBy>阿迎</cp:lastModifiedBy>
  <dcterms:modified xsi:type="dcterms:W3CDTF">2023-03-20T01:15:05Z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B176ABDA62A84EC9BF0552BCE1ADC6BD</vt:lpwstr>
  </property>
</Properties>
</file>